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1-3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Р.В. Голованюк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Воробьевой </w:t>
      </w:r>
      <w:r>
        <w:rPr>
          <w:rFonts w:ascii="Times New Roman" w:eastAsia="Times New Roman" w:hAnsi="Times New Roman" w:cs="Times New Roman"/>
          <w:sz w:val="28"/>
          <w:szCs w:val="28"/>
        </w:rPr>
        <w:t>Т.О.,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Брагиной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Воробьева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Воробьева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военнообязанно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РФ (далее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Воробьев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тайно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чужого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24.11.2022 </w:t>
      </w:r>
      <w:r>
        <w:rPr>
          <w:rFonts w:ascii="Times New Roman" w:eastAsia="Times New Roman" w:hAnsi="Times New Roman" w:cs="Times New Roman"/>
          <w:sz w:val="28"/>
          <w:szCs w:val="28"/>
        </w:rPr>
        <w:t>с 08-00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12</w:t>
      </w:r>
      <w:r>
        <w:rPr>
          <w:rFonts w:ascii="Times New Roman" w:eastAsia="Times New Roman" w:hAnsi="Times New Roman" w:cs="Times New Roman"/>
          <w:sz w:val="28"/>
          <w:szCs w:val="28"/>
        </w:rPr>
        <w:t>-50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Воробьев А.А. </w:t>
      </w:r>
      <w:r>
        <w:rPr>
          <w:rFonts w:ascii="Times New Roman" w:eastAsia="Times New Roman" w:hAnsi="Times New Roman" w:cs="Times New Roman"/>
          <w:sz w:val="28"/>
          <w:szCs w:val="28"/>
        </w:rPr>
        <w:t>будучи в состоянии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по адресу: </w:t>
      </w:r>
      <w:r>
        <w:rPr>
          <w:rStyle w:val="cat-UserDefinedgrp-36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увидел на кухонном столе сотовый телефо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 «TECNO SPARK 8С» 64 </w:t>
      </w:r>
      <w:r>
        <w:rPr>
          <w:rFonts w:ascii="Times New Roman" w:eastAsia="Times New Roman" w:hAnsi="Times New Roman" w:cs="Times New Roman"/>
          <w:sz w:val="28"/>
          <w:szCs w:val="28"/>
        </w:rPr>
        <w:t>Gb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., где у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 умысел, направленный на тайное хищение указанно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сотового телефона.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Реализуя свой преступный умысел, осознавая противоправность своих действий Воробьев А.А. убедившись, что за его действиями никто не наблюдает, то есть действуя тайно,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корыстных побуждений взял со стола сотовый телефон марки «TECNO SPARK 8С» 64 </w:t>
      </w:r>
      <w:r>
        <w:rPr>
          <w:rFonts w:ascii="Times New Roman" w:eastAsia="Times New Roman" w:hAnsi="Times New Roman" w:cs="Times New Roman"/>
          <w:sz w:val="28"/>
          <w:szCs w:val="28"/>
        </w:rPr>
        <w:t>Gb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8 522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нем сим-картой оператора </w:t>
      </w:r>
      <w:r>
        <w:rPr>
          <w:rFonts w:ascii="Times New Roman" w:eastAsia="Times New Roman" w:hAnsi="Times New Roman" w:cs="Times New Roman"/>
          <w:sz w:val="28"/>
          <w:szCs w:val="28"/>
        </w:rPr>
        <w:t>Tele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2, а также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силиконовы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чех</w:t>
      </w:r>
      <w:r>
        <w:rPr>
          <w:rFonts w:ascii="Times New Roman" w:eastAsia="Times New Roman" w:hAnsi="Times New Roman" w:cs="Times New Roman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прозрачного цвета, которые материальной ценности для </w:t>
      </w:r>
      <w:r>
        <w:rPr>
          <w:rStyle w:val="cat-UserDefinedgrp-3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 не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чего, имея возможность отказаться от совершения преступления, но напротив жела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этого, вышел из вышеуказанной квартиры и скрылся с места преступления с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преступными действиями Воробьев А.А. причинил </w:t>
      </w:r>
      <w:r>
        <w:rPr>
          <w:rStyle w:val="cat-UserDefinedgrp-3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незначительный материальный ущерб в размере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522 рубля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изложения государственным обвинителем предъявленного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Воробьеву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обвинения,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 ему понятно,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признает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Дознание по его ходатайству производилось в сокращенной форме. </w:t>
      </w: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дела подсудимый заявил ходатайство о постановлении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а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поддерживает,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заявлены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добровольно, после консультации с защитником, последствия постановления приговора без проведения судебного разбирательства осознает.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извещен надлежащим образом, просил дело рассмотреть в его отсутствие, выразил согласие на рассмотрение дела в особом порядке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указав о возмещении ущерба и отсутствии к подсудимому претензий морального и материального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 рассмотрения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особом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положений ст.226.9 УПК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разбирательства судья в соответствии с требованиями ст.316 УПК РФ убедился, что дознание в сокращенной форме проведено на основании ходатайства подсудимого, условия, предусмотренные ст.226.1 УПК РФ соблюдены, обстоятельства, предусмотренные ст.226.2 УПК РФ отсутствуют.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условия постановления судебного решения без проведения судебного разбирательства соблюдены, </w:t>
      </w:r>
      <w:r>
        <w:rPr>
          <w:rFonts w:ascii="Times New Roman" w:eastAsia="Times New Roman" w:hAnsi="Times New Roman" w:cs="Times New Roman"/>
          <w:sz w:val="28"/>
          <w:szCs w:val="28"/>
        </w:rPr>
        <w:t>по ходатайству подсудимого и с согласия участников процесса,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имеющегося в материалах дела согласия потерпевшего на производство дознания в сокращенной форме,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ст.226.9 УПК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постановляет приговор в особом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>, предъявлено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обоснованно,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собранными по уголовному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 158 УК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тайно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Воробьевым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преступления, относящегося к категории небольшой тяжести,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совершения, личность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характеризующе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>, на учете у врач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нарколога и </w:t>
      </w:r>
      <w:r>
        <w:rPr>
          <w:rFonts w:ascii="Times New Roman" w:eastAsia="Times New Roman" w:hAnsi="Times New Roman" w:cs="Times New Roman"/>
          <w:sz w:val="28"/>
          <w:szCs w:val="28"/>
        </w:rPr>
        <w:t>психиатра не состояще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не 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61 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раскаяние,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возмещение ущерба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63 УК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 признает совершение преступления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положений ст.64 и ст.73 </w:t>
      </w:r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личность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смягчающих и отягчающих вину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ч. 2 ст. 43 УК РФ о том, что наказание применяется 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социальной справедливости, а также в целях исправления виновного лица и предупреждения совершения новых преступлений,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316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позицию государственного обвинителя о назначении наказания в виде обязательных работ,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назначить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, что, по мнению мирового судьи, приведет к достижению целей наказания и не окажет отрицательного воздействия на условия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с учетом наличия у Воробьева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заработка в размере 50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Судьбу вещественных доказательств разрешить в порядке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81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226.9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Воробьева </w:t>
      </w:r>
      <w:r>
        <w:rPr>
          <w:rStyle w:val="cat-UserDefinedgrp-33rplc-4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ч.1 ст. 158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Взыскатель Российская Федерация. Получатель: УФК по Ханты-Мансийскому автономному округ - Югре (УМВД России по Ханты-Мансийскому автономному округу-Югре). ИНН - 8601010390. КПП - 860101001. Счёт № 40101810</w:t>
      </w:r>
      <w:r>
        <w:rPr>
          <w:rFonts w:ascii="Times New Roman" w:eastAsia="Times New Roman" w:hAnsi="Times New Roman" w:cs="Times New Roman"/>
          <w:sz w:val="28"/>
          <w:szCs w:val="28"/>
        </w:rPr>
        <w:t>9000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0001. Банк: РКЦ Ханты-Мансийск г. Ханты-Мансийск. БИК - 047162000. ОКТМО - 71874000. КБК: 18811621010016000140. Единый уникальный номер уголовного дела: </w:t>
      </w:r>
      <w:r>
        <w:rPr>
          <w:rFonts w:ascii="Times New Roman" w:eastAsia="Times New Roman" w:hAnsi="Times New Roman" w:cs="Times New Roman"/>
          <w:sz w:val="28"/>
          <w:szCs w:val="28"/>
        </w:rPr>
        <w:t>1220171107600</w:t>
      </w:r>
      <w:r>
        <w:rPr>
          <w:rFonts w:ascii="Times New Roman" w:eastAsia="Times New Roman" w:hAnsi="Times New Roman" w:cs="Times New Roman"/>
          <w:sz w:val="28"/>
          <w:szCs w:val="28"/>
        </w:rPr>
        <w:t>8050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Воробьеву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после вступления приговора в законную силу отменить.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сотовый телефон марки «TECNO SPARK 8С» 64 </w:t>
      </w:r>
      <w:r>
        <w:rPr>
          <w:rFonts w:ascii="Times New Roman" w:eastAsia="Times New Roman" w:hAnsi="Times New Roman" w:cs="Times New Roman"/>
          <w:sz w:val="28"/>
          <w:szCs w:val="28"/>
        </w:rPr>
        <w:t>Gb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сим-картой оператора </w:t>
      </w:r>
      <w:r>
        <w:rPr>
          <w:rFonts w:ascii="Times New Roman" w:eastAsia="Times New Roman" w:hAnsi="Times New Roman" w:cs="Times New Roman"/>
          <w:sz w:val="28"/>
          <w:szCs w:val="28"/>
        </w:rPr>
        <w:t>Tele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2, </w:t>
      </w:r>
      <w:r>
        <w:rPr>
          <w:rFonts w:ascii="Times New Roman" w:eastAsia="Times New Roman" w:hAnsi="Times New Roman" w:cs="Times New Roman"/>
          <w:sz w:val="28"/>
          <w:szCs w:val="28"/>
        </w:rPr>
        <w:t>бонусной картой «Магнит»,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силиконовым чехлом </w:t>
      </w:r>
      <w:r>
        <w:rPr>
          <w:rFonts w:ascii="Times New Roman" w:eastAsia="Times New Roman" w:hAnsi="Times New Roman" w:cs="Times New Roman"/>
          <w:sz w:val="28"/>
          <w:szCs w:val="28"/>
        </w:rPr>
        <w:t>– оставить 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 следа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дактилокарту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Воробьева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при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его провозглашения, а осужденным, содержащимся под стражей в тот же срок со дня вручения им копии приговора с соблюдением требований ст. 317 Уголовно-процессуального кодекса Российской Федерации, с подачей жалобы через судебный участок.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Голованюк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283" w:right="5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33rplc-42">
    <w:name w:val="cat-UserDefined grp-33 rplc-42"/>
    <w:basedOn w:val="DefaultParagraphFont"/>
  </w:style>
  <w:style w:type="character" w:customStyle="1" w:styleId="cat-UserDefinedgrp-37rplc-52">
    <w:name w:val="cat-UserDefined grp-37 rplc-52"/>
    <w:basedOn w:val="DefaultParagraphFont"/>
  </w:style>
  <w:style w:type="character" w:customStyle="1" w:styleId="cat-UserDefinedgrp-40rplc-57">
    <w:name w:val="cat-UserDefined grp-40 rplc-57"/>
    <w:basedOn w:val="DefaultParagraphFont"/>
  </w:style>
  <w:style w:type="character" w:customStyle="1" w:styleId="cat-UserDefinedgrp-41rplc-59">
    <w:name w:val="cat-UserDefined grp-4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